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eastAsia="宋体"/>
          <w:lang w:eastAsia="zh-CN"/>
        </w:rPr>
      </w:pPr>
      <w:r>
        <w:t>西部地区软件和信息服务业</w:t>
      </w:r>
      <w:r>
        <w:rPr>
          <w:rFonts w:hint="eastAsia"/>
          <w:lang w:eastAsia="zh-CN"/>
        </w:rPr>
        <w:t>“</w:t>
      </w:r>
      <w:r>
        <w:t>西部之光</w:t>
      </w:r>
      <w:r>
        <w:rPr>
          <w:rFonts w:hint="eastAsia"/>
          <w:lang w:eastAsia="zh-CN"/>
        </w:rPr>
        <w:t>”</w:t>
      </w:r>
    </w:p>
    <w:p>
      <w:pPr>
        <w:pStyle w:val="2"/>
        <w:bidi w:val="0"/>
        <w:rPr>
          <w:rFonts w:hint="eastAsia"/>
          <w:lang w:eastAsia="zh-CN"/>
        </w:rPr>
      </w:pPr>
      <w:r>
        <w:t>特色软件企业、特色软件产品、特色服务案例发布管理办法</w:t>
      </w:r>
    </w:p>
    <w:p>
      <w:pPr>
        <w:pStyle w:val="5"/>
        <w:bidi w:val="0"/>
      </w:pPr>
      <w:r>
        <w:t>（</w:t>
      </w:r>
      <w:r>
        <w:rPr>
          <w:rFonts w:hint="eastAsia"/>
          <w:lang w:val="en-US" w:eastAsia="zh-CN"/>
        </w:rPr>
        <w:t>试行稿</w:t>
      </w:r>
      <w:r>
        <w:t>）</w:t>
      </w:r>
    </w:p>
    <w:p>
      <w:pPr>
        <w:pStyle w:val="9"/>
        <w:bidi w:val="0"/>
      </w:pPr>
    </w:p>
    <w:p>
      <w:pPr>
        <w:pStyle w:val="3"/>
        <w:bidi w:val="0"/>
        <w:rPr>
          <w:rFonts w:hint="eastAsia"/>
          <w:lang w:eastAsia="zh-CN"/>
        </w:rPr>
      </w:pPr>
      <w:r>
        <w:t>第一章</w:t>
      </w:r>
      <w:r>
        <w:rPr>
          <w:rFonts w:hint="eastAsia"/>
          <w:lang w:val="en-US" w:eastAsia="zh-CN"/>
        </w:rPr>
        <w:t xml:space="preserve">  </w:t>
      </w:r>
      <w:r>
        <w:t>总则</w:t>
      </w:r>
    </w:p>
    <w:p>
      <w:pPr>
        <w:bidi w:val="0"/>
      </w:pPr>
      <w:r>
        <w:rPr>
          <w:rStyle w:val="19"/>
        </w:rPr>
        <w:t>第一</w:t>
      </w:r>
      <w:r>
        <w:rPr>
          <w:rStyle w:val="19"/>
          <w:rFonts w:hint="eastAsia"/>
          <w:lang w:eastAsia="zh-CN"/>
        </w:rPr>
        <w:t xml:space="preserve">条 </w:t>
      </w:r>
      <w:r>
        <w:rPr>
          <w:rStyle w:val="19"/>
          <w:rFonts w:hint="eastAsia"/>
          <w:lang w:val="en-US" w:eastAsia="zh-CN"/>
        </w:rPr>
        <w:t xml:space="preserve"> </w:t>
      </w:r>
      <w:r>
        <w:t>为深入实施国家软件发展战略，贯彻落实《国务院关于印发新时期促进集成电路产业和软件产业高质量发展若干政策的通知》（国发〔2020〕8号）文件精神，展示西部地区软件和信息技术服务企业（（</w:t>
      </w:r>
      <w:r>
        <w:rPr>
          <w:rFonts w:hint="eastAsia"/>
          <w:lang w:val="en-US" w:eastAsia="zh-CN"/>
        </w:rPr>
        <w:t>以下</w:t>
      </w:r>
      <w:r>
        <w:t>简称</w:t>
      </w:r>
      <w:r>
        <w:rPr>
          <w:rFonts w:hint="eastAsia"/>
          <w:lang w:eastAsia="zh-CN"/>
        </w:rPr>
        <w:t>“</w:t>
      </w:r>
      <w:r>
        <w:t>软件企业</w:t>
      </w:r>
      <w:r>
        <w:rPr>
          <w:rFonts w:hint="eastAsia"/>
          <w:lang w:eastAsia="zh-CN"/>
        </w:rPr>
        <w:t>”</w:t>
      </w:r>
      <w:r>
        <w:t>）实力，打造竞争力强、美誉度高的区域产业品牌，进一步提升西部软件企业竞争力。西部地区软件行业协会根据《西部地区软件产业高质量发展倡议书》，打造</w:t>
      </w:r>
      <w:r>
        <w:rPr>
          <w:rFonts w:hint="eastAsia"/>
          <w:lang w:eastAsia="zh-CN"/>
        </w:rPr>
        <w:t>“</w:t>
      </w:r>
      <w:r>
        <w:t>西部之光</w:t>
      </w:r>
      <w:r>
        <w:rPr>
          <w:rFonts w:hint="eastAsia"/>
          <w:lang w:eastAsia="zh-CN"/>
        </w:rPr>
        <w:t>”</w:t>
      </w:r>
      <w:r>
        <w:t>区域软件产业品牌，结合工作实际，特制定本办法。</w:t>
      </w:r>
    </w:p>
    <w:p>
      <w:pPr>
        <w:bidi w:val="0"/>
      </w:pPr>
      <w:r>
        <w:rPr>
          <w:rStyle w:val="19"/>
        </w:rPr>
        <w:t>第二</w:t>
      </w:r>
      <w:r>
        <w:rPr>
          <w:rStyle w:val="19"/>
          <w:rFonts w:hint="eastAsia"/>
          <w:lang w:eastAsia="zh-CN"/>
        </w:rPr>
        <w:t>条</w:t>
      </w:r>
      <w:r>
        <w:rPr>
          <w:rStyle w:val="19"/>
          <w:rFonts w:hint="eastAsia"/>
          <w:lang w:val="en-US" w:eastAsia="zh-CN"/>
        </w:rPr>
        <w:t xml:space="preserve">  </w:t>
      </w:r>
      <w:r>
        <w:t>本办法所指西部地区软件行业协会是指内蒙古软件行业协会、广西软件行业协会、重庆市软件行业协会、四川省软件行业协会、贵州省软件行业协会、云南省软件行业协会、陕西省软件行业协会、甘肃省信息产业协会、宁夏信息产业协会、新疆维吾尔自治区软件行业协会。</w:t>
      </w:r>
    </w:p>
    <w:p>
      <w:pPr>
        <w:bidi w:val="0"/>
      </w:pPr>
      <w:r>
        <w:rPr>
          <w:rStyle w:val="19"/>
        </w:rPr>
        <w:t>第三</w:t>
      </w:r>
      <w:r>
        <w:rPr>
          <w:rStyle w:val="19"/>
          <w:rFonts w:hint="eastAsia"/>
          <w:lang w:eastAsia="zh-CN"/>
        </w:rPr>
        <w:t xml:space="preserve">条 </w:t>
      </w:r>
      <w:r>
        <w:rPr>
          <w:rStyle w:val="19"/>
          <w:rFonts w:hint="eastAsia"/>
          <w:lang w:val="en-US" w:eastAsia="zh-CN"/>
        </w:rPr>
        <w:t xml:space="preserve"> </w:t>
      </w:r>
      <w:r>
        <w:t>本办法适用于西部地区软件行业协会联合发布</w:t>
      </w:r>
      <w:r>
        <w:rPr>
          <w:rFonts w:hint="eastAsia"/>
          <w:lang w:eastAsia="zh-CN"/>
        </w:rPr>
        <w:t>“</w:t>
      </w:r>
      <w:r>
        <w:t>西部之光</w:t>
      </w:r>
      <w:r>
        <w:rPr>
          <w:rFonts w:hint="eastAsia"/>
          <w:lang w:eastAsia="zh-CN"/>
        </w:rPr>
        <w:t>”</w:t>
      </w:r>
      <w:r>
        <w:t>特色软件企业、特色软件产品、特色服务案例名单。</w:t>
      </w:r>
    </w:p>
    <w:p>
      <w:pPr>
        <w:bidi w:val="0"/>
      </w:pPr>
      <w:r>
        <w:rPr>
          <w:rStyle w:val="19"/>
        </w:rPr>
        <w:t>第四</w:t>
      </w:r>
      <w:r>
        <w:rPr>
          <w:rStyle w:val="19"/>
          <w:rFonts w:hint="eastAsia"/>
          <w:lang w:eastAsia="zh-CN"/>
        </w:rPr>
        <w:t xml:space="preserve">条 </w:t>
      </w:r>
      <w:r>
        <w:rPr>
          <w:rStyle w:val="19"/>
          <w:rFonts w:hint="eastAsia"/>
          <w:lang w:val="en-US" w:eastAsia="zh-CN"/>
        </w:rPr>
        <w:t xml:space="preserve"> </w:t>
      </w:r>
      <w:r>
        <w:t>西部地区软件行业协会省际协作联席会议办公室负责</w:t>
      </w:r>
      <w:r>
        <w:rPr>
          <w:rFonts w:hint="eastAsia"/>
          <w:lang w:eastAsia="zh-CN"/>
        </w:rPr>
        <w:t>“</w:t>
      </w:r>
      <w:r>
        <w:t>西部之光</w:t>
      </w:r>
      <w:r>
        <w:rPr>
          <w:rFonts w:hint="eastAsia"/>
          <w:lang w:eastAsia="zh-CN"/>
        </w:rPr>
        <w:t>”</w:t>
      </w:r>
      <w:r>
        <w:t>发布工作。</w:t>
      </w:r>
    </w:p>
    <w:p>
      <w:pPr>
        <w:bidi w:val="0"/>
      </w:pPr>
      <w:r>
        <w:rPr>
          <w:rStyle w:val="19"/>
        </w:rPr>
        <w:t>第五</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rPr>
          <w:rFonts w:hint="eastAsia" w:eastAsia="宋体"/>
          <w:lang w:eastAsia="zh-CN"/>
        </w:rPr>
        <w:t>“</w:t>
      </w:r>
      <w:r>
        <w:t>西部之光</w:t>
      </w:r>
      <w:r>
        <w:rPr>
          <w:rFonts w:hint="eastAsia"/>
          <w:lang w:eastAsia="zh-CN"/>
        </w:rPr>
        <w:t>”</w:t>
      </w:r>
      <w:r>
        <w:t>名单发布工作</w:t>
      </w:r>
      <w:r>
        <w:rPr>
          <w:rFonts w:hint="eastAsia"/>
          <w:lang w:val="en-US" w:eastAsia="zh-CN"/>
        </w:rPr>
        <w:t>以</w:t>
      </w:r>
      <w:r>
        <w:rPr>
          <w:rFonts w:hint="eastAsia"/>
          <w:lang w:eastAsia="zh-CN"/>
        </w:rPr>
        <w:t>“</w:t>
      </w:r>
      <w:r>
        <w:t>树标杆、促创新、提影响</w:t>
      </w:r>
      <w:r>
        <w:rPr>
          <w:rFonts w:hint="eastAsia"/>
          <w:lang w:eastAsia="zh-CN"/>
        </w:rPr>
        <w:t>”</w:t>
      </w:r>
      <w:r>
        <w:t>为基本目标，坚持统分结合、统一发布、优化改进的基本原则。</w:t>
      </w:r>
    </w:p>
    <w:p>
      <w:pPr>
        <w:pStyle w:val="9"/>
        <w:bidi w:val="0"/>
      </w:pPr>
    </w:p>
    <w:p>
      <w:pPr>
        <w:pStyle w:val="3"/>
        <w:bidi w:val="0"/>
      </w:pPr>
      <w:r>
        <w:t>第二章</w:t>
      </w:r>
      <w:r>
        <w:rPr>
          <w:rFonts w:hint="eastAsia"/>
          <w:lang w:val="en-US" w:eastAsia="zh-CN"/>
        </w:rPr>
        <w:t xml:space="preserve"> </w:t>
      </w:r>
      <w:r>
        <w:t>发布</w:t>
      </w:r>
      <w:r>
        <w:rPr>
          <w:rFonts w:hint="eastAsia"/>
          <w:lang w:eastAsia="zh-CN"/>
        </w:rPr>
        <w:t>条件</w:t>
      </w:r>
    </w:p>
    <w:p>
      <w:pPr>
        <w:bidi w:val="0"/>
      </w:pPr>
      <w:r>
        <w:rPr>
          <w:rStyle w:val="19"/>
        </w:rPr>
        <w:t>第六</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发布基本</w:t>
      </w:r>
      <w:r>
        <w:rPr>
          <w:rFonts w:hint="eastAsia"/>
          <w:lang w:eastAsia="zh-CN"/>
        </w:rPr>
        <w:t>条件</w:t>
      </w:r>
    </w:p>
    <w:p>
      <w:pPr>
        <w:bidi w:val="0"/>
      </w:pPr>
      <w:r>
        <w:t>（一）登记注册在西部地区十省（自治区、直辖市）的具有独立法人资格的企业和</w:t>
      </w:r>
      <w:r>
        <w:rPr>
          <w:rFonts w:hint="eastAsia"/>
          <w:lang w:eastAsia="zh-CN"/>
        </w:rPr>
        <w:t>“</w:t>
      </w:r>
      <w:r>
        <w:t>三无</w:t>
      </w:r>
      <w:r>
        <w:rPr>
          <w:rFonts w:hint="eastAsia"/>
          <w:lang w:eastAsia="zh-CN"/>
        </w:rPr>
        <w:t>”</w:t>
      </w:r>
      <w:r>
        <w:t>事业单位。</w:t>
      </w:r>
    </w:p>
    <w:p>
      <w:pPr>
        <w:bidi w:val="0"/>
      </w:pPr>
      <w:r>
        <w:t>（二）企业信用良好，相关信用信息查询之日一年内在全国信用信息共享平台无行政处罚、失信惩戒等信息，法人治理结构完善，财务管理等相关企业制度健全，无知识产权争议，无重大社会负面影响行为和事件。</w:t>
      </w:r>
    </w:p>
    <w:p>
      <w:pPr>
        <w:bidi w:val="0"/>
      </w:pPr>
      <w:r>
        <w:t>（三）企业主营业务和技术发展重点符合国家产业政策，主导的产品或服务应符合国家鼓励的发展方向。</w:t>
      </w:r>
    </w:p>
    <w:p>
      <w:pPr>
        <w:bidi w:val="0"/>
      </w:pPr>
      <w:r>
        <w:t>（四）企业近三年软件业务收入总额占营业收入总额的比例不低于30％。</w:t>
      </w:r>
    </w:p>
    <w:p>
      <w:pPr>
        <w:bidi w:val="0"/>
      </w:pPr>
      <w:r>
        <w:rPr>
          <w:rStyle w:val="19"/>
        </w:rPr>
        <w:t>第七</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特色软件企业还应符合</w:t>
      </w:r>
      <w:r>
        <w:rPr>
          <w:rFonts w:hint="eastAsia"/>
          <w:lang w:val="en-US" w:eastAsia="zh-CN"/>
        </w:rPr>
        <w:t>以下</w:t>
      </w:r>
      <w:r>
        <w:rPr>
          <w:rFonts w:hint="eastAsia"/>
          <w:lang w:eastAsia="zh-CN"/>
        </w:rPr>
        <w:t>条件</w:t>
      </w:r>
      <w:r>
        <w:t>：</w:t>
      </w:r>
    </w:p>
    <w:p>
      <w:pPr>
        <w:bidi w:val="0"/>
      </w:pPr>
      <w:r>
        <w:t>（一）成立时间五年</w:t>
      </w:r>
      <w:r>
        <w:rPr>
          <w:rFonts w:hint="eastAsia"/>
          <w:lang w:val="en-US" w:eastAsia="zh-CN"/>
        </w:rPr>
        <w:t>以</w:t>
      </w:r>
      <w:r>
        <w:t>上（自登记主管机关核准登记之日起计算）</w:t>
      </w:r>
      <w:r>
        <w:rPr>
          <w:rFonts w:hint="eastAsia"/>
          <w:lang w:eastAsia="zh-CN"/>
        </w:rPr>
        <w:t>，</w:t>
      </w:r>
      <w:r>
        <w:rPr>
          <w:rFonts w:hint="eastAsia"/>
          <w:lang w:val="en-US" w:eastAsia="zh-CN"/>
        </w:rPr>
        <w:t>并通过软件企业评估。</w:t>
      </w:r>
    </w:p>
    <w:p>
      <w:pPr>
        <w:bidi w:val="0"/>
      </w:pPr>
      <w:r>
        <w:t>（二）企业注册资本和实收资本均不少于500万元。</w:t>
      </w:r>
    </w:p>
    <w:p>
      <w:pPr>
        <w:bidi w:val="0"/>
      </w:pPr>
      <w:r>
        <w:t>（三）企业近三年主营业务收入每年不低于2000万元。</w:t>
      </w:r>
    </w:p>
    <w:p>
      <w:pPr>
        <w:bidi w:val="0"/>
      </w:pPr>
      <w:r>
        <w:t>（四）企业近三年软件业务收入总额占营业收入总额的比例不低于70％。</w:t>
      </w:r>
    </w:p>
    <w:p>
      <w:pPr>
        <w:bidi w:val="0"/>
      </w:pPr>
      <w:bookmarkStart w:id="0" w:name="_GoBack"/>
      <w:bookmarkEnd w:id="0"/>
      <w:r>
        <w:t>（五）企业近三年主营业务收入同比增速不低于5%。</w:t>
      </w:r>
    </w:p>
    <w:p>
      <w:pPr>
        <w:bidi w:val="0"/>
      </w:pPr>
      <w:r>
        <w:t>（六）企业从业人员常年不少于50人。</w:t>
      </w:r>
    </w:p>
    <w:p>
      <w:pPr>
        <w:bidi w:val="0"/>
      </w:pPr>
      <w:r>
        <w:t>（七）企业在细分领域拥有较强核心竞争力和明显优势。</w:t>
      </w:r>
    </w:p>
    <w:p>
      <w:pPr>
        <w:bidi w:val="0"/>
      </w:pPr>
      <w:r>
        <w:t>（八）</w:t>
      </w:r>
      <w:r>
        <w:rPr>
          <w:rFonts w:hint="eastAsia"/>
          <w:lang w:val="en-US" w:eastAsia="zh-CN"/>
        </w:rPr>
        <w:t>企业</w:t>
      </w:r>
      <w:r>
        <w:t>入围省级</w:t>
      </w:r>
      <w:r>
        <w:rPr>
          <w:rFonts w:hint="eastAsia"/>
          <w:lang w:val="en-US" w:eastAsia="zh-CN"/>
        </w:rPr>
        <w:t>以</w:t>
      </w:r>
      <w:r>
        <w:t>上优秀软件企业、重点软件企业名单的，可</w:t>
      </w:r>
      <w:r>
        <w:rPr>
          <w:rFonts w:hint="eastAsia"/>
          <w:lang w:val="en-US" w:eastAsia="zh-CN"/>
        </w:rPr>
        <w:t>优先</w:t>
      </w:r>
      <w:r>
        <w:t>进入发布名单。</w:t>
      </w:r>
    </w:p>
    <w:p>
      <w:pPr>
        <w:pStyle w:val="11"/>
        <w:bidi w:val="0"/>
        <w:rPr>
          <w:rFonts w:hint="default"/>
          <w:lang w:val="en-US" w:eastAsia="zh-CN"/>
        </w:rPr>
      </w:pPr>
      <w:r>
        <w:rPr>
          <w:rFonts w:hint="eastAsia"/>
          <w:lang w:val="en-US" w:eastAsia="zh-CN"/>
        </w:rPr>
        <w:t>注：其中（二）、（三）条可根据各地区情况适当放宽。</w:t>
      </w:r>
    </w:p>
    <w:p>
      <w:pPr>
        <w:bidi w:val="0"/>
      </w:pPr>
      <w:r>
        <w:rPr>
          <w:rStyle w:val="19"/>
        </w:rPr>
        <w:t>第八</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特色软件产品还应符合</w:t>
      </w:r>
      <w:r>
        <w:rPr>
          <w:rFonts w:hint="eastAsia"/>
          <w:lang w:val="en-US" w:eastAsia="zh-CN"/>
        </w:rPr>
        <w:t>以下</w:t>
      </w:r>
      <w:r>
        <w:rPr>
          <w:rFonts w:hint="eastAsia"/>
          <w:lang w:eastAsia="zh-CN"/>
        </w:rPr>
        <w:t>条件</w:t>
      </w:r>
      <w:r>
        <w:t>：</w:t>
      </w:r>
    </w:p>
    <w:p>
      <w:pPr>
        <w:bidi w:val="0"/>
      </w:pPr>
      <w:r>
        <w:t>（一）软件产品应符合国家和所在地区产业发展政策导向，类别属于基础软件、支撑软件、平台软件、工业软件、嵌入式系统软件、信息安全软件、5G相关软件、人工智能软件等高端软件，或在制造业集群、政务治理和民生服务重要领域有创新型应用的行业应用软件。</w:t>
      </w:r>
    </w:p>
    <w:p>
      <w:pPr>
        <w:bidi w:val="0"/>
      </w:pPr>
      <w:r>
        <w:t>（二）该项软件产品拥有自主知识产权，具备软件著作权，并通过软件产品评估。</w:t>
      </w:r>
    </w:p>
    <w:p>
      <w:pPr>
        <w:bidi w:val="0"/>
      </w:pPr>
      <w:r>
        <w:t>（三）该项软件产品功能或性能有重大突破，具有技术领先优势或者打破市场垄断。</w:t>
      </w:r>
    </w:p>
    <w:p>
      <w:pPr>
        <w:bidi w:val="0"/>
      </w:pPr>
      <w:r>
        <w:t>（四）该项软件产品已正式发布并进行销售，具有良好市场推广应用前景。</w:t>
      </w:r>
    </w:p>
    <w:p>
      <w:pPr>
        <w:bidi w:val="0"/>
      </w:pPr>
      <w:r>
        <w:t>（五）该项软件产品通过相关法定检测机构检测。</w:t>
      </w:r>
    </w:p>
    <w:p>
      <w:pPr>
        <w:bidi w:val="0"/>
      </w:pPr>
      <w:r>
        <w:t>（六）该项产品软件研发投入不低于100万。</w:t>
      </w:r>
    </w:p>
    <w:p>
      <w:pPr>
        <w:bidi w:val="0"/>
      </w:pPr>
      <w:r>
        <w:t>（七）该项软件产品与信创技术路线相适配的，或拥有相关专利的，或该项软件产品的研发过程推动了相关标准制定的可</w:t>
      </w:r>
      <w:r>
        <w:rPr>
          <w:rFonts w:hint="eastAsia"/>
          <w:lang w:val="en-US" w:eastAsia="zh-CN"/>
        </w:rPr>
        <w:t>以</w:t>
      </w:r>
      <w:r>
        <w:t>适当放宽相关</w:t>
      </w:r>
      <w:r>
        <w:rPr>
          <w:rFonts w:hint="eastAsia"/>
          <w:lang w:eastAsia="zh-CN"/>
        </w:rPr>
        <w:t>条件</w:t>
      </w:r>
      <w:r>
        <w:t>。</w:t>
      </w:r>
    </w:p>
    <w:p>
      <w:pPr>
        <w:bidi w:val="0"/>
      </w:pPr>
      <w:r>
        <w:t>（八）仅限于企业自用的软件或用户定制的非通用软件，不属于征集范围。</w:t>
      </w:r>
    </w:p>
    <w:p>
      <w:pPr>
        <w:bidi w:val="0"/>
      </w:pPr>
      <w:r>
        <w:t>（九）入围省级</w:t>
      </w:r>
      <w:r>
        <w:rPr>
          <w:rFonts w:hint="eastAsia"/>
          <w:lang w:val="en-US" w:eastAsia="zh-CN"/>
        </w:rPr>
        <w:t>以</w:t>
      </w:r>
      <w:r>
        <w:t>上优秀软件产品、重点软件产品名单的，可</w:t>
      </w:r>
      <w:r>
        <w:rPr>
          <w:rFonts w:hint="eastAsia"/>
          <w:lang w:val="en-US" w:eastAsia="zh-CN"/>
        </w:rPr>
        <w:t>优先</w:t>
      </w:r>
      <w:r>
        <w:t>进入发布名单。</w:t>
      </w:r>
    </w:p>
    <w:p>
      <w:pPr>
        <w:bidi w:val="0"/>
      </w:pPr>
      <w:r>
        <w:rPr>
          <w:rStyle w:val="19"/>
        </w:rPr>
        <w:t>第九</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特色服务案例应符合</w:t>
      </w:r>
      <w:r>
        <w:rPr>
          <w:rFonts w:hint="eastAsia"/>
          <w:lang w:val="en-US" w:eastAsia="zh-CN"/>
        </w:rPr>
        <w:t>以下</w:t>
      </w:r>
      <w:r>
        <w:rPr>
          <w:rFonts w:hint="eastAsia"/>
          <w:lang w:eastAsia="zh-CN"/>
        </w:rPr>
        <w:t>条件</w:t>
      </w:r>
      <w:r>
        <w:t>：</w:t>
      </w:r>
    </w:p>
    <w:p>
      <w:pPr>
        <w:bidi w:val="0"/>
      </w:pPr>
      <w:r>
        <w:t>（一）案例应是</w:t>
      </w:r>
      <w:r>
        <w:rPr>
          <w:rFonts w:hint="eastAsia"/>
          <w:lang w:val="en-US" w:eastAsia="zh-CN"/>
        </w:rPr>
        <w:t>已</w:t>
      </w:r>
      <w:r>
        <w:t>实际落地应用的解决方案，具备先进性、实用性、代表性和可复制性，在促进产业升级、模式创新、经济社会效益提升等方面成效明显，有可量化的实际成效。</w:t>
      </w:r>
    </w:p>
    <w:p>
      <w:pPr>
        <w:bidi w:val="0"/>
      </w:pPr>
      <w:r>
        <w:t>（二）案例应在团队、技术、产品等方面拥有独家优势，运营模式、技术应用、项目实施等环节具有独特创新性、实施效果得到广泛认可。</w:t>
      </w:r>
    </w:p>
    <w:p>
      <w:pPr>
        <w:bidi w:val="0"/>
      </w:pPr>
      <w:r>
        <w:t>（三）案例应充分体现数字技术与各行业融合发展趋势，且技术水平处于行业领先，为各行业探索数字技术应用带来启示。</w:t>
      </w:r>
    </w:p>
    <w:p>
      <w:pPr>
        <w:bidi w:val="0"/>
      </w:pPr>
      <w:r>
        <w:t>（四）案例应具有较高性价比和较高推广应用价值，且应用成效显著，为各行业的数字化发展提供实用经验和路径参考。</w:t>
      </w:r>
    </w:p>
    <w:p>
      <w:pPr>
        <w:bidi w:val="0"/>
      </w:pPr>
      <w:r>
        <w:t>（五）入围省级</w:t>
      </w:r>
      <w:r>
        <w:rPr>
          <w:rFonts w:hint="eastAsia"/>
          <w:lang w:val="en-US" w:eastAsia="zh-CN"/>
        </w:rPr>
        <w:t>以</w:t>
      </w:r>
      <w:r>
        <w:t>上的优秀示范案例，可直接进入发布名单。</w:t>
      </w:r>
    </w:p>
    <w:p>
      <w:pPr>
        <w:pStyle w:val="9"/>
        <w:bidi w:val="0"/>
      </w:pPr>
    </w:p>
    <w:p>
      <w:pPr>
        <w:pStyle w:val="3"/>
        <w:bidi w:val="0"/>
      </w:pPr>
      <w:r>
        <w:t>第三章</w:t>
      </w:r>
      <w:r>
        <w:rPr>
          <w:rFonts w:hint="eastAsia"/>
          <w:lang w:val="en-US" w:eastAsia="zh-CN"/>
        </w:rPr>
        <w:t xml:space="preserve">  </w:t>
      </w:r>
      <w:r>
        <w:t>发布程序</w:t>
      </w:r>
    </w:p>
    <w:p>
      <w:pPr>
        <w:bidi w:val="0"/>
      </w:pPr>
      <w:r>
        <w:rPr>
          <w:rStyle w:val="19"/>
        </w:rPr>
        <w:t>第十</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发布工作按照</w:t>
      </w:r>
      <w:r>
        <w:rPr>
          <w:rFonts w:hint="eastAsia"/>
          <w:lang w:val="en-US" w:eastAsia="zh-CN"/>
        </w:rPr>
        <w:t>以下</w:t>
      </w:r>
      <w:r>
        <w:t>程序进行：</w:t>
      </w:r>
    </w:p>
    <w:p>
      <w:pPr>
        <w:bidi w:val="0"/>
      </w:pPr>
      <w:r>
        <w:t>（一）制定方案。西部地区软件行业协会省际协作联席会议办公室制定年度发布工作方案，并由联席会全体讨论通过。</w:t>
      </w:r>
    </w:p>
    <w:p>
      <w:pPr>
        <w:bidi w:val="0"/>
      </w:pPr>
      <w:r>
        <w:t>（二）名单推荐。西部地区软件行业协会分别组织所在地区企业自行申报或根据现有工作基础推荐，形成所在地区特色软件企业、特色软件产品和特色服务案例推荐名单（</w:t>
      </w:r>
      <w:r>
        <w:rPr>
          <w:rFonts w:hint="eastAsia"/>
          <w:lang w:val="en-US" w:eastAsia="zh-CN"/>
        </w:rPr>
        <w:t>以下</w:t>
      </w:r>
      <w:r>
        <w:t>简称</w:t>
      </w:r>
      <w:r>
        <w:rPr>
          <w:rFonts w:hint="eastAsia"/>
          <w:lang w:eastAsia="zh-CN"/>
        </w:rPr>
        <w:t>“</w:t>
      </w:r>
      <w:r>
        <w:t>推荐名单</w:t>
      </w:r>
      <w:r>
        <w:rPr>
          <w:rFonts w:hint="eastAsia"/>
          <w:lang w:eastAsia="zh-CN"/>
        </w:rPr>
        <w:t>”</w:t>
      </w:r>
      <w:r>
        <w:t>），报送至西部十省（自治区、直辖市）软件行业协会省际协作联席会议办公室汇总。</w:t>
      </w:r>
    </w:p>
    <w:p>
      <w:pPr>
        <w:bidi w:val="0"/>
      </w:pPr>
      <w:r>
        <w:t>（三）讨论确定。西部地区软件行业协会省际协作联席会议办公室组织联席会议成员单位对推荐名单进行讨论，形成</w:t>
      </w:r>
      <w:r>
        <w:rPr>
          <w:rFonts w:hint="eastAsia"/>
          <w:lang w:eastAsia="zh-CN"/>
        </w:rPr>
        <w:t>“</w:t>
      </w:r>
      <w:r>
        <w:t>西部之光</w:t>
      </w:r>
      <w:r>
        <w:rPr>
          <w:rFonts w:hint="eastAsia"/>
          <w:lang w:eastAsia="zh-CN"/>
        </w:rPr>
        <w:t>”</w:t>
      </w:r>
      <w:r>
        <w:t>百家特色软件企业、百件特色软件产品和百个特色服务案例公示名单。</w:t>
      </w:r>
    </w:p>
    <w:p>
      <w:pPr>
        <w:bidi w:val="0"/>
      </w:pPr>
      <w:r>
        <w:t>（四）名单公示。西部地区软件行业协会省际协作联席会议办公室和西部十省（自治区、直辖市）软件行业协会同步将名单向社会公示，公示期不少于三个工作日，公示结果反馈至西部十省（自治区、直辖市）软件行业协会省际协作联席会议办公室。</w:t>
      </w:r>
    </w:p>
    <w:p>
      <w:pPr>
        <w:bidi w:val="0"/>
      </w:pPr>
      <w:r>
        <w:t>（五）发布名单。经公示无异议后，由西部地区软件行业协会省际协作联席会议办公室形成</w:t>
      </w:r>
      <w:r>
        <w:rPr>
          <w:rFonts w:hint="eastAsia"/>
          <w:lang w:eastAsia="zh-CN"/>
        </w:rPr>
        <w:t>“</w:t>
      </w:r>
      <w:r>
        <w:t>西部之光</w:t>
      </w:r>
      <w:r>
        <w:rPr>
          <w:rFonts w:hint="eastAsia"/>
          <w:lang w:eastAsia="zh-CN"/>
        </w:rPr>
        <w:t>”</w:t>
      </w:r>
      <w:r>
        <w:t>百家特色软件企业、百件特色软件产品和百个特色服务案例名单，面向社会公开发布。</w:t>
      </w:r>
    </w:p>
    <w:p>
      <w:pPr>
        <w:pStyle w:val="9"/>
        <w:bidi w:val="0"/>
      </w:pPr>
    </w:p>
    <w:p>
      <w:pPr>
        <w:pStyle w:val="3"/>
        <w:bidi w:val="0"/>
      </w:pPr>
      <w:r>
        <w:t>第四章</w:t>
      </w:r>
      <w:r>
        <w:rPr>
          <w:rFonts w:hint="eastAsia"/>
          <w:lang w:val="en-US" w:eastAsia="zh-CN"/>
        </w:rPr>
        <w:t xml:space="preserve">  </w:t>
      </w:r>
      <w:r>
        <w:t>发布管理</w:t>
      </w:r>
    </w:p>
    <w:p>
      <w:pPr>
        <w:bidi w:val="0"/>
      </w:pPr>
      <w:r>
        <w:rPr>
          <w:rStyle w:val="19"/>
        </w:rPr>
        <w:t>第十一</w:t>
      </w:r>
      <w:r>
        <w:rPr>
          <w:rStyle w:val="19"/>
          <w:rFonts w:hint="eastAsia"/>
          <w:lang w:eastAsia="zh-CN"/>
        </w:rPr>
        <w:t>条</w:t>
      </w:r>
      <w:r>
        <w:rPr>
          <w:rStyle w:val="19"/>
          <w:rFonts w:hint="eastAsia"/>
          <w:lang w:val="en-US" w:eastAsia="zh-CN"/>
        </w:rPr>
        <w:t xml:space="preserve">  </w:t>
      </w:r>
      <w:r>
        <w:t>原则上，每年发布特色软件企业100家、特色软件产品100件、特色服务案例100个，西部十省（自治区、直辖市）平均分配名额，部分地区因故无法满额的情况，可考虑向其他省（自治区、直辖市）补足，总体不超额。</w:t>
      </w:r>
    </w:p>
    <w:p>
      <w:pPr>
        <w:bidi w:val="0"/>
      </w:pPr>
      <w:r>
        <w:rPr>
          <w:rStyle w:val="19"/>
        </w:rPr>
        <w:t>第十二</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发布工作每年组织开展一次。西部地区软件行业协会省际协作联席会议办公室和西部十省（自治区、直辖市）软件行业协会分别组织宣传推广，不断提升</w:t>
      </w:r>
      <w:r>
        <w:rPr>
          <w:rFonts w:hint="eastAsia"/>
          <w:lang w:eastAsia="zh-CN"/>
        </w:rPr>
        <w:t>“</w:t>
      </w:r>
      <w:r>
        <w:t>西部之光</w:t>
      </w:r>
      <w:r>
        <w:rPr>
          <w:rFonts w:hint="eastAsia"/>
          <w:lang w:eastAsia="zh-CN"/>
        </w:rPr>
        <w:t>”</w:t>
      </w:r>
      <w:r>
        <w:t>区域软件产业品牌影响力，帮助行业企业提升竞争力。</w:t>
      </w:r>
    </w:p>
    <w:p>
      <w:pPr>
        <w:bidi w:val="0"/>
      </w:pPr>
      <w:r>
        <w:rPr>
          <w:rStyle w:val="19"/>
        </w:rPr>
        <w:t>第十三</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西部十省（自治区、直辖市）软件行业协会不得借发布工作名义收取企业费用。</w:t>
      </w:r>
    </w:p>
    <w:p>
      <w:pPr>
        <w:pStyle w:val="9"/>
        <w:bidi w:val="0"/>
      </w:pPr>
    </w:p>
    <w:p>
      <w:pPr>
        <w:pStyle w:val="3"/>
        <w:bidi w:val="0"/>
      </w:pPr>
      <w:r>
        <w:t>第五章</w:t>
      </w:r>
      <w:r>
        <w:rPr>
          <w:rFonts w:hint="eastAsia"/>
          <w:lang w:val="en-US" w:eastAsia="zh-CN"/>
        </w:rPr>
        <w:t xml:space="preserve"> </w:t>
      </w:r>
      <w:r>
        <w:t>附则</w:t>
      </w:r>
    </w:p>
    <w:p>
      <w:pPr>
        <w:bidi w:val="0"/>
      </w:pPr>
      <w:r>
        <w:rPr>
          <w:rStyle w:val="19"/>
        </w:rPr>
        <w:t>第十四</w:t>
      </w:r>
      <w:r>
        <w:rPr>
          <w:rStyle w:val="19"/>
          <w:rFonts w:hint="eastAsia"/>
          <w:lang w:eastAsia="zh-CN"/>
        </w:rPr>
        <w:t>条</w:t>
      </w:r>
      <w:r>
        <w:rPr>
          <w:rStyle w:val="19"/>
          <w:rFonts w:hint="eastAsia"/>
          <w:lang w:val="en-US" w:eastAsia="zh-CN"/>
        </w:rPr>
        <w:t xml:space="preserve"> </w:t>
      </w:r>
      <w:r>
        <w:rPr>
          <w:rStyle w:val="19"/>
          <w:rFonts w:hint="eastAsia"/>
          <w:lang w:eastAsia="zh-CN"/>
        </w:rPr>
        <w:t xml:space="preserve"> </w:t>
      </w:r>
      <w:r>
        <w:t>本办法经西部地区软件行业协会省际协作联席会议第</w:t>
      </w:r>
      <w:r>
        <w:rPr>
          <w:rFonts w:hint="eastAsia"/>
          <w:lang w:val="en-US" w:eastAsia="zh-CN"/>
        </w:rPr>
        <w:t>二</w:t>
      </w:r>
      <w:r>
        <w:t>次会议讨论通过后实施，有效期3年。</w:t>
      </w:r>
    </w:p>
    <w:sectPr>
      <w:pgSz w:w="11906" w:h="16838"/>
      <w:pgMar w:top="1984" w:right="1984" w:bottom="1984" w:left="198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D030E"/>
    <w:multiLevelType w:val="multilevel"/>
    <w:tmpl w:val="EF9D030E"/>
    <w:lvl w:ilvl="0" w:tentative="0">
      <w:start w:val="1"/>
      <w:numFmt w:val="none"/>
      <w:pStyle w:val="13"/>
      <w:suff w:val="nothing"/>
      <w:lvlText w:val="%1"/>
      <w:lvlJc w:val="left"/>
      <w:pPr>
        <w:ind w:left="0" w:firstLine="0"/>
      </w:pPr>
      <w:rPr>
        <w:rFonts w:hint="eastAsia"/>
      </w:rPr>
    </w:lvl>
    <w:lvl w:ilvl="1" w:tentative="0">
      <w:start w:val="1"/>
      <w:numFmt w:val="decimal"/>
      <w:pStyle w:val="14"/>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12"/>
      <w:suff w:val="nothing"/>
      <w:lvlText w:val="%1%2.%3　"/>
      <w:lvlJc w:val="left"/>
      <w:pPr>
        <w:tabs>
          <w:tab w:val="left" w:pos="0"/>
        </w:tabs>
        <w:ind w:left="426"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5"/>
      <w:suff w:val="nothing"/>
      <w:lvlText w:val="%1%2.%3.%4　"/>
      <w:lvlJc w:val="left"/>
      <w:pPr>
        <w:tabs>
          <w:tab w:val="left" w:pos="0"/>
        </w:tabs>
        <w:ind w:left="1135" w:firstLine="0"/>
      </w:pPr>
      <w:rPr>
        <w:rFonts w:hint="default" w:ascii="黑体" w:eastAsia="黑体"/>
        <w:b w:val="0"/>
        <w:i w:val="0"/>
        <w:sz w:val="21"/>
        <w:szCs w:val="21"/>
      </w:rPr>
    </w:lvl>
    <w:lvl w:ilvl="4" w:tentative="0">
      <w:start w:val="1"/>
      <w:numFmt w:val="decimal"/>
      <w:pStyle w:val="16"/>
      <w:suff w:val="nothing"/>
      <w:lvlText w:val="%1%2.%3.%4.%5　"/>
      <w:lvlJc w:val="left"/>
      <w:pPr>
        <w:ind w:left="0" w:firstLine="0"/>
      </w:pPr>
      <w:rPr>
        <w:rFonts w:hint="eastAsia" w:ascii="黑体" w:eastAsia="黑体"/>
        <w:b w:val="0"/>
        <w:i w:val="0"/>
        <w:sz w:val="21"/>
      </w:rPr>
    </w:lvl>
    <w:lvl w:ilvl="5" w:tentative="0">
      <w:start w:val="1"/>
      <w:numFmt w:val="decimal"/>
      <w:pStyle w:val="17"/>
      <w:suff w:val="nothing"/>
      <w:lvlText w:val="%1%2.%3.%4.%5.%6　"/>
      <w:lvlJc w:val="left"/>
      <w:pPr>
        <w:ind w:left="0" w:firstLine="0"/>
      </w:pPr>
      <w:rPr>
        <w:rFonts w:hint="eastAsia" w:ascii="黑体" w:eastAsia="黑体"/>
        <w:b w:val="0"/>
        <w:i w:val="0"/>
        <w:sz w:val="21"/>
      </w:rPr>
    </w:lvl>
    <w:lvl w:ilvl="6" w:tentative="0">
      <w:start w:val="1"/>
      <w:numFmt w:val="decimal"/>
      <w:pStyle w:val="1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Tc2YTI4ZDRkYTMwODY2NTMxNjA2ZTI0ZmVlNDIifQ=="/>
  </w:docVars>
  <w:rsids>
    <w:rsidRoot w:val="705643A8"/>
    <w:rsid w:val="02BE378E"/>
    <w:rsid w:val="087476B7"/>
    <w:rsid w:val="0D6260CD"/>
    <w:rsid w:val="10526CD3"/>
    <w:rsid w:val="106B68C8"/>
    <w:rsid w:val="11631D7A"/>
    <w:rsid w:val="137455F6"/>
    <w:rsid w:val="18484BE5"/>
    <w:rsid w:val="18912A5B"/>
    <w:rsid w:val="1BDC4A45"/>
    <w:rsid w:val="22B30ECD"/>
    <w:rsid w:val="24F625AA"/>
    <w:rsid w:val="28974BBD"/>
    <w:rsid w:val="2B795E32"/>
    <w:rsid w:val="2EA83A6B"/>
    <w:rsid w:val="39BA374E"/>
    <w:rsid w:val="3EAC4BE0"/>
    <w:rsid w:val="403411E4"/>
    <w:rsid w:val="450D2B1B"/>
    <w:rsid w:val="454D2DA9"/>
    <w:rsid w:val="463B4047"/>
    <w:rsid w:val="49881230"/>
    <w:rsid w:val="4AF53986"/>
    <w:rsid w:val="4B413ED2"/>
    <w:rsid w:val="4CAC6348"/>
    <w:rsid w:val="4E9D254B"/>
    <w:rsid w:val="50874A7C"/>
    <w:rsid w:val="54396B86"/>
    <w:rsid w:val="5C55730B"/>
    <w:rsid w:val="5EA558D6"/>
    <w:rsid w:val="60195D37"/>
    <w:rsid w:val="63CD67F3"/>
    <w:rsid w:val="67A57D2D"/>
    <w:rsid w:val="69811F27"/>
    <w:rsid w:val="6D7222B4"/>
    <w:rsid w:val="6EE40110"/>
    <w:rsid w:val="6EEB221A"/>
    <w:rsid w:val="705643A8"/>
    <w:rsid w:val="776158EB"/>
    <w:rsid w:val="79D0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964" w:firstLineChars="200"/>
      <w:jc w:val="both"/>
    </w:pPr>
    <w:rPr>
      <w:rFonts w:ascii="Times New Roman" w:hAnsi="Times New Roman" w:eastAsia="宋体" w:cs="仿宋_GB2312"/>
      <w:color w:val="auto"/>
      <w:kern w:val="0"/>
      <w:sz w:val="28"/>
      <w:szCs w:val="28"/>
      <w:lang w:val="en-US" w:eastAsia="zh-CN" w:bidi="ar-SA"/>
    </w:rPr>
  </w:style>
  <w:style w:type="paragraph" w:styleId="2">
    <w:name w:val="heading 1"/>
    <w:basedOn w:val="1"/>
    <w:next w:val="1"/>
    <w:autoRedefine/>
    <w:qFormat/>
    <w:uiPriority w:val="0"/>
    <w:pPr>
      <w:spacing w:before="0" w:beforeAutospacing="0" w:after="0" w:afterAutospacing="0"/>
      <w:ind w:firstLine="0" w:firstLineChars="0"/>
      <w:jc w:val="center"/>
      <w:outlineLvl w:val="0"/>
    </w:pPr>
    <w:rPr>
      <w:rFonts w:hint="eastAsia" w:eastAsia="宋体" w:cs="宋体"/>
      <w:b/>
      <w:kern w:val="44"/>
      <w:sz w:val="44"/>
      <w:szCs w:val="48"/>
      <w:lang w:bidi="ar"/>
    </w:rPr>
  </w:style>
  <w:style w:type="paragraph" w:styleId="3">
    <w:name w:val="heading 2"/>
    <w:basedOn w:val="1"/>
    <w:next w:val="1"/>
    <w:autoRedefine/>
    <w:unhideWhenUsed/>
    <w:qFormat/>
    <w:uiPriority w:val="0"/>
    <w:pPr>
      <w:keepNext/>
      <w:keepLines/>
      <w:spacing w:beforeLines="0" w:beforeAutospacing="0" w:afterLines="0" w:afterAutospacing="0" w:line="240" w:lineRule="auto"/>
      <w:ind w:firstLine="0" w:firstLineChars="0"/>
      <w:jc w:val="center"/>
      <w:outlineLvl w:val="1"/>
    </w:pPr>
    <w:rPr>
      <w:rFonts w:eastAsia="宋体" w:cs="宋体"/>
      <w:b/>
    </w:rPr>
  </w:style>
  <w:style w:type="paragraph" w:styleId="4">
    <w:name w:val="heading 3"/>
    <w:basedOn w:val="1"/>
    <w:next w:val="1"/>
    <w:link w:val="19"/>
    <w:autoRedefine/>
    <w:semiHidden/>
    <w:unhideWhenUsed/>
    <w:qFormat/>
    <w:uiPriority w:val="0"/>
    <w:pPr>
      <w:spacing w:before="0" w:beforeAutospacing="0" w:after="0" w:afterAutospacing="0"/>
      <w:jc w:val="both"/>
      <w:outlineLvl w:val="2"/>
    </w:pPr>
    <w:rPr>
      <w:rFonts w:hint="eastAsia" w:eastAsia="宋体"/>
      <w:b/>
      <w:sz w:val="28"/>
      <w:szCs w:val="27"/>
      <w:lang w:bidi="ar"/>
    </w:rPr>
  </w:style>
  <w:style w:type="paragraph" w:styleId="5">
    <w:name w:val="heading 4"/>
    <w:basedOn w:val="1"/>
    <w:next w:val="1"/>
    <w:autoRedefine/>
    <w:unhideWhenUsed/>
    <w:qFormat/>
    <w:uiPriority w:val="0"/>
    <w:pPr>
      <w:spacing w:before="0" w:beforeAutospacing="0" w:after="0" w:afterAutospacing="0"/>
      <w:ind w:firstLine="0" w:firstLineChars="0"/>
      <w:jc w:val="center"/>
      <w:outlineLvl w:val="3"/>
    </w:pPr>
    <w:rPr>
      <w:rFonts w:hint="eastAsia"/>
      <w:szCs w:val="24"/>
      <w:lang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8">
    <w:name w:val="表格标题1"/>
    <w:basedOn w:val="1"/>
    <w:autoRedefine/>
    <w:qFormat/>
    <w:uiPriority w:val="0"/>
    <w:pPr>
      <w:ind w:firstLine="0" w:firstLineChars="0"/>
      <w:jc w:val="center"/>
    </w:pPr>
    <w:rPr>
      <w:b/>
    </w:rPr>
  </w:style>
  <w:style w:type="paragraph" w:customStyle="1" w:styleId="9">
    <w:name w:val="表格正文1"/>
    <w:basedOn w:val="1"/>
    <w:autoRedefine/>
    <w:qFormat/>
    <w:uiPriority w:val="0"/>
    <w:pPr>
      <w:ind w:firstLine="0" w:firstLineChars="0"/>
    </w:pPr>
    <w:rPr>
      <w:sz w:val="21"/>
    </w:rPr>
  </w:style>
  <w:style w:type="paragraph" w:customStyle="1" w:styleId="10">
    <w:name w:val="表格正文2"/>
    <w:basedOn w:val="1"/>
    <w:autoRedefine/>
    <w:qFormat/>
    <w:uiPriority w:val="0"/>
    <w:pPr>
      <w:ind w:firstLine="0" w:firstLineChars="0"/>
      <w:jc w:val="center"/>
    </w:pPr>
  </w:style>
  <w:style w:type="paragraph" w:customStyle="1" w:styleId="11">
    <w:name w:val="正文注释1"/>
    <w:basedOn w:val="1"/>
    <w:autoRedefine/>
    <w:qFormat/>
    <w:uiPriority w:val="0"/>
    <w:rPr>
      <w:rFonts w:eastAsia="楷体"/>
    </w:rPr>
  </w:style>
  <w:style w:type="paragraph" w:customStyle="1" w:styleId="12">
    <w:name w:val="标准文件_一级无标题"/>
    <w:basedOn w:val="1"/>
    <w:autoRedefine/>
    <w:qFormat/>
    <w:uiPriority w:val="0"/>
    <w:pPr>
      <w:numPr>
        <w:ilvl w:val="2"/>
        <w:numId w:val="1"/>
      </w:numPr>
      <w:spacing w:before="0" w:beforeLines="0" w:after="0" w:afterLines="0"/>
      <w:ind w:left="0"/>
      <w:outlineLvl w:val="9"/>
    </w:pPr>
    <w:rPr>
      <w:rFonts w:ascii="Times New Roman" w:hAnsi="Times New Roman" w:eastAsia="黑体" w:cs="Times New Roman"/>
      <w:szCs w:val="24"/>
    </w:rPr>
  </w:style>
  <w:style w:type="paragraph" w:customStyle="1" w:styleId="13">
    <w:name w:val="前言标题"/>
    <w:basedOn w:val="1"/>
    <w:autoRedefine/>
    <w:qFormat/>
    <w:uiPriority w:val="0"/>
    <w:pPr>
      <w:numPr>
        <w:ilvl w:val="0"/>
        <w:numId w:val="1"/>
      </w:numPr>
      <w:ind w:firstLine="0" w:firstLineChars="0"/>
    </w:pPr>
  </w:style>
  <w:style w:type="paragraph" w:customStyle="1" w:styleId="14">
    <w:name w:val="标准文件_章标题"/>
    <w:basedOn w:val="1"/>
    <w:autoRedefine/>
    <w:qFormat/>
    <w:uiPriority w:val="0"/>
    <w:pPr>
      <w:numPr>
        <w:ilvl w:val="1"/>
        <w:numId w:val="1"/>
      </w:numPr>
      <w:ind w:firstLine="0" w:firstLineChars="0"/>
    </w:pPr>
  </w:style>
  <w:style w:type="paragraph" w:customStyle="1" w:styleId="15">
    <w:name w:val="标准文件_二级条标题"/>
    <w:basedOn w:val="1"/>
    <w:autoRedefine/>
    <w:qFormat/>
    <w:uiPriority w:val="0"/>
    <w:pPr>
      <w:numPr>
        <w:ilvl w:val="3"/>
        <w:numId w:val="1"/>
      </w:numPr>
      <w:ind w:left="1135" w:firstLine="0" w:firstLineChars="0"/>
    </w:pPr>
  </w:style>
  <w:style w:type="paragraph" w:customStyle="1" w:styleId="16">
    <w:name w:val="标准文件_三级条标题"/>
    <w:basedOn w:val="1"/>
    <w:autoRedefine/>
    <w:qFormat/>
    <w:uiPriority w:val="0"/>
    <w:pPr>
      <w:numPr>
        <w:ilvl w:val="4"/>
        <w:numId w:val="1"/>
      </w:numPr>
      <w:ind w:firstLine="0" w:firstLineChars="0"/>
    </w:pPr>
  </w:style>
  <w:style w:type="paragraph" w:customStyle="1" w:styleId="17">
    <w:name w:val="标准文件_四级条标题"/>
    <w:basedOn w:val="1"/>
    <w:autoRedefine/>
    <w:qFormat/>
    <w:uiPriority w:val="0"/>
    <w:pPr>
      <w:numPr>
        <w:ilvl w:val="5"/>
        <w:numId w:val="1"/>
      </w:numPr>
      <w:ind w:firstLine="0" w:firstLineChars="0"/>
    </w:pPr>
  </w:style>
  <w:style w:type="paragraph" w:customStyle="1" w:styleId="18">
    <w:name w:val="标准文件_五级条标题"/>
    <w:basedOn w:val="1"/>
    <w:autoRedefine/>
    <w:qFormat/>
    <w:uiPriority w:val="0"/>
    <w:pPr>
      <w:numPr>
        <w:ilvl w:val="6"/>
        <w:numId w:val="1"/>
      </w:numPr>
      <w:ind w:firstLine="0" w:firstLineChars="0"/>
    </w:pPr>
  </w:style>
  <w:style w:type="character" w:customStyle="1" w:styleId="19">
    <w:name w:val="标题 3 Char"/>
    <w:link w:val="4"/>
    <w:autoRedefine/>
    <w:qFormat/>
    <w:uiPriority w:val="0"/>
    <w:rPr>
      <w:rFonts w:hint="eastAsia" w:eastAsia="宋体"/>
      <w:b/>
      <w:sz w:val="28"/>
      <w:szCs w:val="27"/>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2024-10-30T08:17:00Z</dcterms:created>
  <dc:creator>乔木子</dc:creator>
  <cp:lastModifiedBy>乔木子</cp:lastModifiedBy>
  <dcterms:modified xsi:type="dcterms:W3CDTF">2024-11-20T03:10:17Z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25C96DC12A0C4CBBB11C465D2819B737_11</vt:lpwstr>
  </property>
</Properties>
</file>